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0" w:rsidRPr="00D24FD2" w:rsidRDefault="000D0AF0" w:rsidP="000D0AF0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  <w:r w:rsidRPr="00D24FD2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t>Обучение и воображение</w:t>
      </w:r>
    </w:p>
    <w:p w:rsidR="00D24FD2" w:rsidRPr="00D24FD2" w:rsidRDefault="00D24FD2" w:rsidP="000D0AF0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</w:p>
    <w:p w:rsidR="000D0AF0" w:rsidRPr="00D24FD2" w:rsidRDefault="000D0AF0" w:rsidP="000D0AF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50"/>
        <w:gridCol w:w="6750"/>
      </w:tblGrid>
      <w:tr w:rsidR="000D0AF0" w:rsidRPr="00D24FD2">
        <w:trPr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0D0AF0" w:rsidRPr="00D24FD2" w:rsidRDefault="000D0AF0" w:rsidP="000D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2584450"/>
                  <wp:effectExtent l="19050" t="0" r="3810" b="0"/>
                  <wp:docPr id="1" name="Рисунок 1" descr="http://ds2483.msk.ru/pic/psyho3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3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58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  <w:hideMark/>
          </w:tcPr>
          <w:p w:rsidR="000D0AF0" w:rsidRPr="00D24FD2" w:rsidRDefault="000D0AF0" w:rsidP="000D0AF0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Любое обучение неразрывно связано с воображением, поскольку невозможно без способности представить что-то, оперировать абстрактными образами и понятиями. Воображение является некоторым мостиком между мышлением и познанием. Важно научить ребенка использовать разные по степени сложности замыслы и реализовывать их в продуктивных видах деятельности: рисовании, художественном труде, лепке.</w:t>
            </w:r>
          </w:p>
          <w:p w:rsidR="000D0AF0" w:rsidRPr="00D24FD2" w:rsidRDefault="000D0AF0" w:rsidP="000D0AF0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 xml:space="preserve">Чтобы активизировать работу мышления и воображения необходимо использовать проблемные ситуации, когда нет </w:t>
            </w:r>
            <w:proofErr w:type="gramStart"/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готового стереотипного</w:t>
            </w:r>
            <w:proofErr w:type="gramEnd"/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решения. Для решения проблемных ситуаций для младших дошкольников очень важен </w:t>
            </w:r>
            <w:proofErr w:type="gramStart"/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опорный предметный</w:t>
            </w:r>
            <w:proofErr w:type="gramEnd"/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материал, который используется, как заместитель. Например, "как построить домик для собачки, если нет кубиков", при этом в поле восприятия ребенка вносятся коробки, стулья, материя и пр. Для старших детей проблемная ситуация может решаться только в словесной форме, например, что ты будешь делать если окажешься среди великанов.</w:t>
            </w:r>
          </w:p>
        </w:tc>
      </w:tr>
      <w:tr w:rsidR="000D0AF0" w:rsidRPr="00D24FD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D0AF0" w:rsidRPr="00D24FD2" w:rsidRDefault="000D0AF0" w:rsidP="000D0AF0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Задачей взрослого при развитии воображения является насыщение представлений ребенка о мире (воссоздающее воображение) и обучение его способам создания новых объектов (творческое). К некоторым способам творческого воображения относятся:</w:t>
            </w:r>
          </w:p>
          <w:tbl>
            <w:tblPr>
              <w:tblW w:w="10800" w:type="dxa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29"/>
              <w:gridCol w:w="4131"/>
              <w:gridCol w:w="3340"/>
            </w:tblGrid>
            <w:tr w:rsidR="000D0AF0" w:rsidRPr="00D24FD2">
              <w:trPr>
                <w:tblCellSpacing w:w="75" w:type="dxa"/>
              </w:trPr>
              <w:tc>
                <w:tcPr>
                  <w:tcW w:w="3150" w:type="dxa"/>
                  <w:shd w:val="clear" w:color="auto" w:fill="F1F1F1"/>
                  <w:hideMark/>
                </w:tcPr>
                <w:p w:rsidR="000D0AF0" w:rsidRPr="00D24FD2" w:rsidRDefault="000D0AF0" w:rsidP="000D0AF0">
                  <w:pPr>
                    <w:spacing w:before="125" w:after="63" w:line="240" w:lineRule="auto"/>
                    <w:ind w:left="63" w:right="63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• Агглютинация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или склеивание несоединимых в реальности частей</w:t>
                  </w:r>
                </w:p>
                <w:p w:rsidR="000D0AF0" w:rsidRPr="00D24FD2" w:rsidRDefault="000D0AF0" w:rsidP="000D0AF0">
                  <w:pPr>
                    <w:spacing w:before="63" w:after="63" w:line="240" w:lineRule="auto"/>
                    <w:ind w:left="63" w:right="63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«Я не жаба</w:t>
                  </w:r>
                  <w:proofErr w:type="gramStart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не зяблик. 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 xml:space="preserve">Я простой зеленый </w:t>
                  </w:r>
                  <w:proofErr w:type="spellStart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жаблик</w:t>
                  </w:r>
                  <w:proofErr w:type="spellEnd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...»</w:t>
                  </w:r>
                </w:p>
                <w:p w:rsidR="000D0AF0" w:rsidRPr="00D24FD2" w:rsidRDefault="000D0AF0" w:rsidP="000D0AF0">
                  <w:pPr>
                    <w:spacing w:before="63" w:after="63" w:line="240" w:lineRule="auto"/>
                    <w:ind w:left="63" w:right="63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(из стихотворения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Елены Григорьевой)*</w:t>
                  </w:r>
                </w:p>
              </w:tc>
              <w:tc>
                <w:tcPr>
                  <w:tcW w:w="4050" w:type="dxa"/>
                  <w:shd w:val="clear" w:color="auto" w:fill="F1F1F1"/>
                  <w:hideMark/>
                </w:tcPr>
                <w:p w:rsidR="000D0AF0" w:rsidRPr="00D24FD2" w:rsidRDefault="000D0AF0" w:rsidP="000D0AF0">
                  <w:pPr>
                    <w:spacing w:before="125" w:after="63" w:line="240" w:lineRule="auto"/>
                    <w:ind w:left="63" w:right="63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• Парадоксальное</w:t>
                  </w:r>
                  <w:r w:rsidRPr="00D24FD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br/>
                    <w:t>увеличение или уменьшение</w:t>
                  </w:r>
                  <w:r w:rsidRPr="00D24FD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br/>
                    <w:t>предмета или его частей</w:t>
                  </w:r>
                </w:p>
                <w:p w:rsidR="000D0AF0" w:rsidRPr="00D24FD2" w:rsidRDefault="000D0AF0" w:rsidP="000D0AF0">
                  <w:pPr>
                    <w:spacing w:before="63" w:after="63" w:line="240" w:lineRule="auto"/>
                    <w:ind w:left="63" w:right="63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«От земли и до луны, а потом обратн</w:t>
                  </w:r>
                  <w:proofErr w:type="gramStart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о-</w:t>
                  </w:r>
                  <w:proofErr w:type="gramEnd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Вот как я тебя люблю! Разве непонятно?»</w:t>
                  </w:r>
                </w:p>
                <w:p w:rsidR="000D0AF0" w:rsidRPr="00D24FD2" w:rsidRDefault="000D0AF0" w:rsidP="000D0AF0">
                  <w:pPr>
                    <w:spacing w:before="63" w:after="63" w:line="240" w:lineRule="auto"/>
                    <w:ind w:left="63" w:right="63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(из стихотворения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Анны Богачевой)*</w:t>
                  </w:r>
                </w:p>
              </w:tc>
              <w:tc>
                <w:tcPr>
                  <w:tcW w:w="3150" w:type="dxa"/>
                  <w:shd w:val="clear" w:color="auto" w:fill="F1F1F1"/>
                  <w:hideMark/>
                </w:tcPr>
                <w:p w:rsidR="000D0AF0" w:rsidRPr="00D24FD2" w:rsidRDefault="000D0AF0" w:rsidP="000D0AF0">
                  <w:pPr>
                    <w:spacing w:before="125" w:after="63" w:line="240" w:lineRule="auto"/>
                    <w:ind w:left="63" w:right="63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• Антропоморфизм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или одушевление неживых объектов</w:t>
                  </w:r>
                </w:p>
                <w:p w:rsidR="000D0AF0" w:rsidRPr="00D24FD2" w:rsidRDefault="000D0AF0" w:rsidP="000D0AF0">
                  <w:pPr>
                    <w:spacing w:before="63" w:after="63" w:line="240" w:lineRule="auto"/>
                    <w:ind w:left="63" w:right="63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«На окне сидит пижама, 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 xml:space="preserve">У нее помятый вид, 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 xml:space="preserve">За окном идет панама, 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Ест орехи и бисквит</w:t>
                  </w:r>
                  <w:proofErr w:type="gramStart"/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.»</w:t>
                  </w:r>
                  <w:proofErr w:type="gramEnd"/>
                </w:p>
                <w:p w:rsidR="000D0AF0" w:rsidRPr="00D24FD2" w:rsidRDefault="000D0AF0" w:rsidP="000D0AF0">
                  <w:pPr>
                    <w:spacing w:before="63" w:after="63" w:line="240" w:lineRule="auto"/>
                    <w:ind w:left="63" w:right="63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(из стихотворения</w:t>
                  </w:r>
                  <w:r w:rsidRPr="00D24FD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Тима Собакина)*</w:t>
                  </w:r>
                </w:p>
              </w:tc>
            </w:tr>
          </w:tbl>
          <w:p w:rsidR="000D0AF0" w:rsidRPr="00D24FD2" w:rsidRDefault="000D0AF0" w:rsidP="000D0AF0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При правильно организованном обучении у ребенка формируются следующие качества и способности:</w:t>
            </w:r>
          </w:p>
          <w:p w:rsidR="000D0AF0" w:rsidRPr="00D24FD2" w:rsidRDefault="000D0AF0" w:rsidP="000D0AF0">
            <w:pPr>
              <w:spacing w:before="63" w:after="63" w:line="240" w:lineRule="auto"/>
              <w:ind w:left="751" w:right="751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• умение делать выводы;</w:t>
            </w:r>
          </w:p>
          <w:p w:rsidR="000D0AF0" w:rsidRPr="00D24FD2" w:rsidRDefault="000D0AF0" w:rsidP="000D0AF0">
            <w:pPr>
              <w:spacing w:before="63" w:after="63" w:line="240" w:lineRule="auto"/>
              <w:ind w:left="751" w:right="751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• умение интегрировать и синтезировать информацию;</w:t>
            </w:r>
          </w:p>
          <w:p w:rsidR="000D0AF0" w:rsidRPr="00D24FD2" w:rsidRDefault="000D0AF0" w:rsidP="000D0AF0">
            <w:pPr>
              <w:spacing w:before="63" w:after="63" w:line="240" w:lineRule="auto"/>
              <w:ind w:left="751" w:right="751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• умение замечать тонкие различия;</w:t>
            </w:r>
          </w:p>
          <w:p w:rsidR="000D0AF0" w:rsidRPr="00D24FD2" w:rsidRDefault="000D0AF0" w:rsidP="000D0AF0">
            <w:pPr>
              <w:spacing w:before="63" w:after="63" w:line="240" w:lineRule="auto"/>
              <w:ind w:left="751" w:right="751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• чувствительность к противоречиям;</w:t>
            </w:r>
          </w:p>
          <w:p w:rsidR="000D0AF0" w:rsidRPr="00D24FD2" w:rsidRDefault="000D0AF0" w:rsidP="000D0AF0">
            <w:pPr>
              <w:spacing w:before="63" w:after="63" w:line="240" w:lineRule="auto"/>
              <w:ind w:left="751" w:right="751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• способность предвидеть последствия;</w:t>
            </w:r>
          </w:p>
          <w:p w:rsidR="000D0AF0" w:rsidRPr="00D24FD2" w:rsidRDefault="000D0AF0" w:rsidP="000D0AF0">
            <w:pPr>
              <w:spacing w:before="63" w:after="63" w:line="240" w:lineRule="auto"/>
              <w:ind w:left="751" w:right="751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• способность выдвигать гипотезы и применять идеи на практике;</w:t>
            </w:r>
          </w:p>
          <w:p w:rsidR="000D0AF0" w:rsidRPr="00D24FD2" w:rsidRDefault="000D0AF0" w:rsidP="000D0AF0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FD2">
              <w:rPr>
                <w:rFonts w:ascii="Verdana" w:eastAsia="Times New Roman" w:hAnsi="Verdana" w:cs="Times New Roman"/>
                <w:sz w:val="18"/>
                <w:szCs w:val="18"/>
              </w:rPr>
              <w:t>Какими упражнениями можно развивать творческое воображение? Об этом в следующий раз. До новых встреч, дорогие друзья!</w:t>
            </w:r>
          </w:p>
        </w:tc>
      </w:tr>
    </w:tbl>
    <w:p w:rsidR="00953769" w:rsidRPr="00D24FD2" w:rsidRDefault="00953769"/>
    <w:sectPr w:rsidR="00953769" w:rsidRPr="00D24FD2" w:rsidSect="0099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AF0"/>
    <w:rsid w:val="000D0AF0"/>
    <w:rsid w:val="00953769"/>
    <w:rsid w:val="00993BDE"/>
    <w:rsid w:val="00D2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DE"/>
  </w:style>
  <w:style w:type="paragraph" w:styleId="1">
    <w:name w:val="heading 1"/>
    <w:basedOn w:val="a"/>
    <w:link w:val="10"/>
    <w:uiPriority w:val="9"/>
    <w:qFormat/>
    <w:rsid w:val="000D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0D0AF0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customStyle="1" w:styleId="article">
    <w:name w:val="article"/>
    <w:basedOn w:val="a"/>
    <w:rsid w:val="000D0AF0"/>
    <w:pPr>
      <w:spacing w:before="63" w:after="63" w:line="240" w:lineRule="auto"/>
      <w:ind w:left="63" w:right="63" w:firstLine="360"/>
      <w:jc w:val="both"/>
    </w:pPr>
    <w:rPr>
      <w:rFonts w:ascii="Verdana" w:eastAsia="Times New Roman" w:hAnsi="Verdana" w:cs="Times New Roman"/>
      <w:color w:val="0E4949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2014-01-09T14:46:00Z</dcterms:created>
  <dcterms:modified xsi:type="dcterms:W3CDTF">2014-01-10T06:40:00Z</dcterms:modified>
</cp:coreProperties>
</file>